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039830FA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plastics:</w:t>
      </w:r>
    </w:p>
    <w:p w14:paraId="009B8BC4" w14:textId="77777777" w:rsidR="00546921" w:rsidRPr="00E13019" w:rsidRDefault="00546921" w:rsidP="00546921">
      <w:pPr>
        <w:ind w:left="426"/>
        <w:jc w:val="both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>conformity with Regulation 10/2011 (EU) and (if defined in the BfR (German Federal Institute for Risk Assessment) Recommendations</w:t>
      </w:r>
      <w:r w:rsidRPr="00E13019">
        <w:rPr>
          <w:sz w:val="22"/>
          <w:szCs w:val="22"/>
          <w:lang w:val="en-US"/>
        </w:rPr>
        <w:t xml:space="preserve"> </w:t>
      </w:r>
      <w:r w:rsidRPr="00E13019">
        <w:rPr>
          <w:rFonts w:cs="Arial"/>
          <w:bCs/>
          <w:sz w:val="22"/>
          <w:szCs w:val="22"/>
          <w:lang w:val="en-GB"/>
        </w:rPr>
        <w:t>on Food Contact Materials) with the corresponding chapter (for examples see X*) of BfR-Recommendations and for the used colorants with BfR-Recommendations chapter IX</w:t>
      </w:r>
      <w:r>
        <w:rPr>
          <w:rFonts w:cs="Arial"/>
          <w:bCs/>
          <w:sz w:val="22"/>
          <w:szCs w:val="22"/>
          <w:lang w:val="en-GB"/>
        </w:rPr>
        <w:t xml:space="preserve"> </w:t>
      </w:r>
      <w:r w:rsidRPr="00C8152D">
        <w:rPr>
          <w:rFonts w:cs="Arial"/>
          <w:bCs/>
          <w:sz w:val="22"/>
          <w:szCs w:val="22"/>
          <w:lang w:val="en-GB"/>
        </w:rPr>
        <w:t>(Colorants for Plastics and other Polymers Used in Commodities)</w:t>
      </w:r>
      <w:r w:rsidRPr="00E13019">
        <w:rPr>
          <w:rFonts w:cs="Arial"/>
          <w:bCs/>
          <w:sz w:val="22"/>
          <w:szCs w:val="22"/>
          <w:lang w:val="en-GB"/>
        </w:rPr>
        <w:t>.</w:t>
      </w:r>
    </w:p>
    <w:p w14:paraId="6A4D805E" w14:textId="77777777" w:rsidR="00546921" w:rsidRPr="00E13019" w:rsidRDefault="00546921" w:rsidP="00546921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>X*:</w:t>
      </w:r>
      <w:r w:rsidRPr="00E13019">
        <w:rPr>
          <w:rFonts w:cs="Arial"/>
          <w:bCs/>
          <w:sz w:val="22"/>
          <w:szCs w:val="22"/>
          <w:lang w:val="en-GB"/>
        </w:rPr>
        <w:tab/>
        <w:t xml:space="preserve">- chapter III: </w:t>
      </w:r>
      <w:r w:rsidRPr="00E13019">
        <w:rPr>
          <w:rFonts w:cs="Arial"/>
          <w:bCs/>
          <w:sz w:val="22"/>
          <w:szCs w:val="22"/>
          <w:lang w:val="en-GB"/>
        </w:rPr>
        <w:tab/>
        <w:t>Polyethylen</w:t>
      </w:r>
    </w:p>
    <w:p w14:paraId="3A428FC2" w14:textId="77777777" w:rsidR="00546921" w:rsidRPr="00E13019" w:rsidRDefault="00546921" w:rsidP="00546921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ab/>
        <w:t xml:space="preserve">- chapter VII: </w:t>
      </w:r>
      <w:r w:rsidRPr="00E13019">
        <w:rPr>
          <w:rFonts w:cs="Arial"/>
          <w:bCs/>
          <w:sz w:val="22"/>
          <w:szCs w:val="22"/>
          <w:lang w:val="en-GB"/>
        </w:rPr>
        <w:tab/>
        <w:t>Polypropylen</w:t>
      </w:r>
    </w:p>
    <w:p w14:paraId="2691E337" w14:textId="77777777" w:rsidR="00546921" w:rsidRPr="00E13019" w:rsidRDefault="00546921" w:rsidP="00546921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ab/>
        <w:t xml:space="preserve">- chapter X: </w:t>
      </w:r>
      <w:r w:rsidRPr="00E13019">
        <w:rPr>
          <w:rFonts w:cs="Arial"/>
          <w:bCs/>
          <w:sz w:val="22"/>
          <w:szCs w:val="22"/>
          <w:lang w:val="en-GB"/>
        </w:rPr>
        <w:tab/>
        <w:t>Polyamides</w:t>
      </w:r>
    </w:p>
    <w:p w14:paraId="45C6715F" w14:textId="77777777" w:rsidR="00546921" w:rsidRPr="00E13019" w:rsidRDefault="00546921" w:rsidP="00546921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ab/>
        <w:t xml:space="preserve">- chapter XI: </w:t>
      </w:r>
      <w:r w:rsidRPr="00E13019">
        <w:rPr>
          <w:rFonts w:cs="Arial"/>
          <w:bCs/>
          <w:sz w:val="22"/>
          <w:szCs w:val="22"/>
          <w:lang w:val="en-GB"/>
        </w:rPr>
        <w:tab/>
        <w:t>Polycarbonates and Mixtures of Polycarbonates with other Polymers or Copolymers</w:t>
      </w:r>
    </w:p>
    <w:p w14:paraId="68F832C9" w14:textId="77777777" w:rsidR="00546921" w:rsidRPr="00E13019" w:rsidRDefault="00546921" w:rsidP="00546921">
      <w:pPr>
        <w:tabs>
          <w:tab w:val="left" w:pos="1276"/>
          <w:tab w:val="left" w:pos="2552"/>
        </w:tabs>
        <w:ind w:left="2552" w:hanging="1701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ab/>
        <w:t>- …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lastRenderedPageBreak/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169113FE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plastics:</w:t>
      </w:r>
    </w:p>
    <w:p w14:paraId="56B8BF21" w14:textId="77777777" w:rsidR="004F7947" w:rsidRPr="00E13019" w:rsidRDefault="004F7947" w:rsidP="004F7947">
      <w:pPr>
        <w:ind w:left="426"/>
        <w:jc w:val="both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>conformity with Regulation 10/2011 (EU) and (if defined in the BfR (German Federal Institute for Risk Assessment) Recommendations</w:t>
      </w:r>
      <w:r w:rsidRPr="00E13019">
        <w:rPr>
          <w:sz w:val="22"/>
          <w:szCs w:val="22"/>
          <w:lang w:val="en-US"/>
        </w:rPr>
        <w:t xml:space="preserve"> </w:t>
      </w:r>
      <w:r w:rsidRPr="00E13019">
        <w:rPr>
          <w:rFonts w:cs="Arial"/>
          <w:bCs/>
          <w:sz w:val="22"/>
          <w:szCs w:val="22"/>
          <w:lang w:val="en-GB"/>
        </w:rPr>
        <w:t>on Food Contact Materials) with the corresponding chapter (for examples see X*) of BfR-Recommendations and for the used colorants with BfR-Recommendations chapter IX</w:t>
      </w:r>
      <w:r>
        <w:rPr>
          <w:rFonts w:cs="Arial"/>
          <w:bCs/>
          <w:sz w:val="22"/>
          <w:szCs w:val="22"/>
          <w:lang w:val="en-GB"/>
        </w:rPr>
        <w:t xml:space="preserve"> </w:t>
      </w:r>
      <w:r w:rsidRPr="00C8152D">
        <w:rPr>
          <w:rFonts w:cs="Arial"/>
          <w:bCs/>
          <w:sz w:val="22"/>
          <w:szCs w:val="22"/>
          <w:lang w:val="en-GB"/>
        </w:rPr>
        <w:t>(Colorants for Plastics and other Polymers Used in Commodities)</w:t>
      </w:r>
      <w:r w:rsidRPr="00E13019">
        <w:rPr>
          <w:rFonts w:cs="Arial"/>
          <w:bCs/>
          <w:sz w:val="22"/>
          <w:szCs w:val="22"/>
          <w:lang w:val="en-GB"/>
        </w:rPr>
        <w:t>.</w:t>
      </w:r>
    </w:p>
    <w:p w14:paraId="08893640" w14:textId="77777777" w:rsidR="004F7947" w:rsidRPr="00E13019" w:rsidRDefault="004F7947" w:rsidP="004F7947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>X*:</w:t>
      </w:r>
      <w:r w:rsidRPr="00E13019">
        <w:rPr>
          <w:rFonts w:cs="Arial"/>
          <w:bCs/>
          <w:sz w:val="22"/>
          <w:szCs w:val="22"/>
          <w:lang w:val="en-GB"/>
        </w:rPr>
        <w:tab/>
        <w:t xml:space="preserve">- chapter III: </w:t>
      </w:r>
      <w:r w:rsidRPr="00E13019">
        <w:rPr>
          <w:rFonts w:cs="Arial"/>
          <w:bCs/>
          <w:sz w:val="22"/>
          <w:szCs w:val="22"/>
          <w:lang w:val="en-GB"/>
        </w:rPr>
        <w:tab/>
        <w:t>Polyethylen</w:t>
      </w:r>
    </w:p>
    <w:p w14:paraId="12F2DFE3" w14:textId="77777777" w:rsidR="004F7947" w:rsidRPr="00E13019" w:rsidRDefault="004F7947" w:rsidP="004F7947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ab/>
        <w:t xml:space="preserve">- chapter VII: </w:t>
      </w:r>
      <w:r w:rsidRPr="00E13019">
        <w:rPr>
          <w:rFonts w:cs="Arial"/>
          <w:bCs/>
          <w:sz w:val="22"/>
          <w:szCs w:val="22"/>
          <w:lang w:val="en-GB"/>
        </w:rPr>
        <w:tab/>
        <w:t>Polypropylen</w:t>
      </w:r>
    </w:p>
    <w:p w14:paraId="0A83C882" w14:textId="77777777" w:rsidR="004F7947" w:rsidRPr="00E13019" w:rsidRDefault="004F7947" w:rsidP="004F7947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ab/>
        <w:t xml:space="preserve">- chapter X: </w:t>
      </w:r>
      <w:r w:rsidRPr="00E13019">
        <w:rPr>
          <w:rFonts w:cs="Arial"/>
          <w:bCs/>
          <w:sz w:val="22"/>
          <w:szCs w:val="22"/>
          <w:lang w:val="en-GB"/>
        </w:rPr>
        <w:tab/>
        <w:t>Polyamides</w:t>
      </w:r>
    </w:p>
    <w:p w14:paraId="7CAFC9D0" w14:textId="77777777" w:rsidR="004F7947" w:rsidRPr="00E13019" w:rsidRDefault="004F7947" w:rsidP="004F7947">
      <w:pPr>
        <w:tabs>
          <w:tab w:val="left" w:pos="1276"/>
          <w:tab w:val="left" w:pos="2552"/>
        </w:tabs>
        <w:ind w:left="2552" w:hanging="1701"/>
        <w:rPr>
          <w:rFonts w:cs="Arial"/>
          <w:bCs/>
          <w:sz w:val="22"/>
          <w:szCs w:val="22"/>
          <w:lang w:val="en-GB"/>
        </w:rPr>
      </w:pPr>
      <w:r w:rsidRPr="00E13019">
        <w:rPr>
          <w:rFonts w:cs="Arial"/>
          <w:bCs/>
          <w:sz w:val="22"/>
          <w:szCs w:val="22"/>
          <w:lang w:val="en-GB"/>
        </w:rPr>
        <w:tab/>
        <w:t xml:space="preserve">- chapter XI: </w:t>
      </w:r>
      <w:r w:rsidRPr="00E13019">
        <w:rPr>
          <w:rFonts w:cs="Arial"/>
          <w:bCs/>
          <w:sz w:val="22"/>
          <w:szCs w:val="22"/>
          <w:lang w:val="en-GB"/>
        </w:rPr>
        <w:tab/>
        <w:t>Polycarbonates and Mixtures of Polycarbonates with other Polymers or Copolymers</w:t>
      </w:r>
    </w:p>
    <w:p w14:paraId="7EDE1F4E" w14:textId="77777777" w:rsidR="004F7947" w:rsidRPr="00E13019" w:rsidRDefault="004F7947" w:rsidP="004F7947">
      <w:pPr>
        <w:tabs>
          <w:tab w:val="left" w:pos="1276"/>
          <w:tab w:val="left" w:pos="2552"/>
        </w:tabs>
        <w:ind w:left="2552" w:hanging="1701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ab/>
        <w:t>- …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337CB6">
        <w:tc>
          <w:tcPr>
            <w:tcW w:w="4106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name</w:t>
            </w:r>
          </w:p>
        </w:tc>
        <w:tc>
          <w:tcPr>
            <w:tcW w:w="170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22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337CB6">
        <w:tc>
          <w:tcPr>
            <w:tcW w:w="4106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337CB6">
        <w:tc>
          <w:tcPr>
            <w:tcW w:w="4106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337CB6">
        <w:tc>
          <w:tcPr>
            <w:tcW w:w="4106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337CB6">
        <w:tc>
          <w:tcPr>
            <w:tcW w:w="4106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0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22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09DBB0D0" w14:textId="77777777" w:rsidR="00DC7BE2" w:rsidRPr="00E13019" w:rsidRDefault="0040578A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This declaration has a validity of 5 years.</w:t>
      </w:r>
      <w:r w:rsidR="00A21AE3" w:rsidRPr="00E13019">
        <w:rPr>
          <w:rFonts w:cs="Arial"/>
          <w:sz w:val="22"/>
          <w:szCs w:val="22"/>
          <w:lang w:val="en-GB"/>
        </w:rPr>
        <w:t xml:space="preserve"> </w:t>
      </w:r>
    </w:p>
    <w:p w14:paraId="4C1AD3D5" w14:textId="77777777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  <w:bookmarkStart w:id="2" w:name="_GoBack"/>
      <w:bookmarkEnd w:id="2"/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default" r:id="rId7"/>
      <w:footerReference w:type="default" r:id="rId8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219" w14:textId="7C6968DF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BF5E60" w:rsidRPr="00BF5E60">
      <w:rPr>
        <w:sz w:val="16"/>
        <w:szCs w:val="16"/>
        <w:lang w:val="en-US"/>
      </w:rPr>
      <w:t>23.06.2021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8ZdvqWmBeOeLQ4gkc4KG6P0llmanr3MdWt3YJxTGsl17N3+86iqj4eb1V5Ac4vlE3AxSKdutc514uLTM01BtQ==" w:salt="EpMSvT/ZlaP2ettEJCFGLA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B2595"/>
    <w:rsid w:val="007E13D8"/>
    <w:rsid w:val="007E2B23"/>
    <w:rsid w:val="00813CDB"/>
    <w:rsid w:val="00816B13"/>
    <w:rsid w:val="008255D3"/>
    <w:rsid w:val="00846633"/>
    <w:rsid w:val="008713E3"/>
    <w:rsid w:val="008C6FB9"/>
    <w:rsid w:val="008E121E"/>
    <w:rsid w:val="008F308D"/>
    <w:rsid w:val="008F4DAB"/>
    <w:rsid w:val="008F60D0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958CA"/>
    <w:rsid w:val="00AA38A1"/>
    <w:rsid w:val="00AC51C3"/>
    <w:rsid w:val="00B05000"/>
    <w:rsid w:val="00BA7E68"/>
    <w:rsid w:val="00BB2682"/>
    <w:rsid w:val="00BC7493"/>
    <w:rsid w:val="00BF5E60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F210C2"/>
    <w:rsid w:val="00F34BC6"/>
    <w:rsid w:val="00F47D40"/>
    <w:rsid w:val="00F64CB0"/>
    <w:rsid w:val="00F817DE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4154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33</cp:revision>
  <cp:lastPrinted>2012-08-08T09:23:00Z</cp:lastPrinted>
  <dcterms:created xsi:type="dcterms:W3CDTF">2021-01-20T14:43:00Z</dcterms:created>
  <dcterms:modified xsi:type="dcterms:W3CDTF">2021-06-24T08:45:00Z</dcterms:modified>
</cp:coreProperties>
</file>