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1209A783" w14:textId="77777777" w:rsidR="00391B40" w:rsidRPr="007B74CB" w:rsidRDefault="00E55CBE" w:rsidP="00E13019">
      <w:pPr>
        <w:pStyle w:val="berschrift2"/>
      </w:pPr>
      <w:bookmarkStart w:id="2" w:name="_Hlk42845624"/>
      <w:r w:rsidRPr="00E55CBE">
        <w:t>Silikonelastomere</w:t>
      </w:r>
      <w:r w:rsidR="00391B40" w:rsidRPr="007B74CB">
        <w:t>:</w:t>
      </w:r>
    </w:p>
    <w:p w14:paraId="176C053D" w14:textId="77777777" w:rsidR="007B74CB" w:rsidRPr="007B74CB" w:rsidRDefault="007B74CB" w:rsidP="007B74CB">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sidR="00FA32E3">
        <w:rPr>
          <w:rFonts w:cs="Arial"/>
          <w:sz w:val="22"/>
          <w:szCs w:val="22"/>
        </w:rPr>
        <w:t xml:space="preserve">, sowie der </w:t>
      </w:r>
      <w:r w:rsidR="00FA32E3" w:rsidRPr="00FA32E3">
        <w:rPr>
          <w:rFonts w:cs="Arial"/>
          <w:sz w:val="22"/>
          <w:szCs w:val="22"/>
        </w:rPr>
        <w:t>“Resolution ResAP (2004) 5 on silicones used for food contact”</w:t>
      </w:r>
      <w:r w:rsidRPr="007B74CB">
        <w:rPr>
          <w:rFonts w:cs="Arial"/>
          <w:sz w:val="22"/>
          <w:szCs w:val="22"/>
        </w:rPr>
        <w:t>.</w:t>
      </w:r>
    </w:p>
    <w:p w14:paraId="2611B4ED" w14:textId="77777777" w:rsidR="007B74CB" w:rsidRPr="007B74CB" w:rsidRDefault="007B74CB" w:rsidP="007B74CB">
      <w:pPr>
        <w:ind w:left="426"/>
        <w:jc w:val="both"/>
        <w:rPr>
          <w:rFonts w:cs="Arial"/>
          <w:sz w:val="22"/>
          <w:szCs w:val="22"/>
        </w:rPr>
      </w:pPr>
      <w:r w:rsidRPr="007B74CB">
        <w:rPr>
          <w:rFonts w:cs="Arial"/>
          <w:sz w:val="22"/>
          <w:szCs w:val="22"/>
        </w:rPr>
        <w:t>Anforderung an Übergang von Stoffen in Anlehnung an Verordnung (EU) Nr. 10/2011:</w:t>
      </w:r>
    </w:p>
    <w:p w14:paraId="1056B1AE" w14:textId="77777777" w:rsidR="007B74CB" w:rsidRPr="00A02199" w:rsidRDefault="007B74CB" w:rsidP="007B74CB">
      <w:pPr>
        <w:tabs>
          <w:tab w:val="left" w:pos="993"/>
        </w:tabs>
        <w:ind w:left="993" w:hanging="284"/>
        <w:jc w:val="both"/>
        <w:rPr>
          <w:rFonts w:cs="Arial"/>
          <w:sz w:val="22"/>
          <w:szCs w:val="22"/>
        </w:rPr>
      </w:pPr>
      <w:r w:rsidRPr="00A02199">
        <w:rPr>
          <w:rFonts w:cs="Arial"/>
          <w:sz w:val="22"/>
          <w:szCs w:val="22"/>
        </w:rPr>
        <w:t>-</w:t>
      </w:r>
      <w:r w:rsidR="00A02199">
        <w:rPr>
          <w:rFonts w:cs="Arial"/>
          <w:sz w:val="22"/>
          <w:szCs w:val="22"/>
        </w:rPr>
        <w:tab/>
      </w:r>
      <w:r w:rsidRPr="00A02199">
        <w:rPr>
          <w:rFonts w:cs="Arial"/>
          <w:sz w:val="22"/>
          <w:szCs w:val="22"/>
        </w:rPr>
        <w:t>Globalmigration</w:t>
      </w:r>
      <w:r w:rsidR="00FA32E3" w:rsidRPr="00A02199">
        <w:rPr>
          <w:rFonts w:cs="Arial"/>
          <w:sz w:val="22"/>
          <w:szCs w:val="22"/>
        </w:rPr>
        <w:t>:</w:t>
      </w:r>
      <w:r w:rsidRPr="00A02199">
        <w:rPr>
          <w:rFonts w:cs="Arial"/>
          <w:sz w:val="22"/>
          <w:szCs w:val="22"/>
        </w:rPr>
        <w:t xml:space="preserve"> Essigsäure 3%, Ethanol 50%, MPPO (Fettkontakt) </w:t>
      </w:r>
    </w:p>
    <w:p w14:paraId="69C0C019" w14:textId="77777777" w:rsidR="00391B40" w:rsidRPr="004D3B85" w:rsidRDefault="004D3B85" w:rsidP="00E13019">
      <w:pPr>
        <w:pStyle w:val="berschrift2"/>
      </w:pPr>
      <w:r w:rsidRPr="004D3B85">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FEC043A" w14:textId="77777777" w:rsidR="00391B40" w:rsidRPr="00A02199" w:rsidRDefault="00E55CBE" w:rsidP="00E13019">
      <w:pPr>
        <w:pStyle w:val="berschrift2"/>
      </w:pPr>
      <w:r w:rsidRPr="00E55CBE">
        <w:t>Glas</w:t>
      </w:r>
      <w:r w:rsidR="00391B40" w:rsidRPr="00A02199">
        <w:t>:</w:t>
      </w:r>
    </w:p>
    <w:p w14:paraId="1C6B1C6F" w14:textId="77777777" w:rsidR="004D3B85" w:rsidRPr="004D3B85" w:rsidRDefault="004D3B85" w:rsidP="00E13019">
      <w:pPr>
        <w:ind w:left="426"/>
        <w:jc w:val="both"/>
        <w:rPr>
          <w:rFonts w:cs="Arial"/>
          <w:sz w:val="22"/>
          <w:szCs w:val="22"/>
        </w:rPr>
      </w:pPr>
      <w:bookmarkStart w:id="3" w:name="_Hlk63865483"/>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bookmarkEnd w:id="3"/>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lastRenderedPageBreak/>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751D5859" w14:textId="77777777" w:rsidR="00A02199" w:rsidRPr="007B74CB" w:rsidRDefault="00E55CBE" w:rsidP="00A02199">
      <w:pPr>
        <w:pStyle w:val="berschrift2"/>
      </w:pPr>
      <w:r w:rsidRPr="00E55CBE">
        <w:t>Silikonelastomere</w:t>
      </w:r>
      <w:r w:rsidR="00A02199" w:rsidRPr="007B74CB">
        <w:t>:</w:t>
      </w:r>
    </w:p>
    <w:p w14:paraId="01D34C71" w14:textId="77777777" w:rsidR="00A02199" w:rsidRPr="007B74CB" w:rsidRDefault="00A02199" w:rsidP="00A02199">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Pr>
          <w:rFonts w:cs="Arial"/>
          <w:sz w:val="22"/>
          <w:szCs w:val="22"/>
        </w:rPr>
        <w:t xml:space="preserve">, sowie der </w:t>
      </w:r>
      <w:r w:rsidRPr="00FA32E3">
        <w:rPr>
          <w:rFonts w:cs="Arial"/>
          <w:sz w:val="22"/>
          <w:szCs w:val="22"/>
        </w:rPr>
        <w:t>“Resolution ResAP (2004) 5 on silicones used for food contact”</w:t>
      </w:r>
      <w:r w:rsidRPr="007B74CB">
        <w:rPr>
          <w:rFonts w:cs="Arial"/>
          <w:sz w:val="22"/>
          <w:szCs w:val="22"/>
        </w:rPr>
        <w:t>.</w:t>
      </w:r>
    </w:p>
    <w:p w14:paraId="22283324" w14:textId="77777777" w:rsidR="00A02199" w:rsidRPr="007B74CB" w:rsidRDefault="00A02199" w:rsidP="00A02199">
      <w:pPr>
        <w:ind w:left="426"/>
        <w:jc w:val="both"/>
        <w:rPr>
          <w:rFonts w:cs="Arial"/>
          <w:sz w:val="22"/>
          <w:szCs w:val="22"/>
        </w:rPr>
      </w:pPr>
      <w:r w:rsidRPr="007B74CB">
        <w:rPr>
          <w:rFonts w:cs="Arial"/>
          <w:sz w:val="22"/>
          <w:szCs w:val="22"/>
        </w:rPr>
        <w:t>Anforderung an Übergang von Stoffen in Anlehnung an Verordnung (EU) Nr. 10/2011:</w:t>
      </w:r>
    </w:p>
    <w:p w14:paraId="7B3EA65F" w14:textId="77777777" w:rsidR="00A02199" w:rsidRPr="00A02199" w:rsidRDefault="00A02199" w:rsidP="00A02199">
      <w:pPr>
        <w:tabs>
          <w:tab w:val="left" w:pos="993"/>
        </w:tabs>
        <w:ind w:left="993" w:hanging="284"/>
        <w:jc w:val="both"/>
        <w:rPr>
          <w:rFonts w:cs="Arial"/>
          <w:sz w:val="22"/>
          <w:szCs w:val="22"/>
        </w:rPr>
      </w:pPr>
      <w:r w:rsidRPr="00A02199">
        <w:rPr>
          <w:rFonts w:cs="Arial"/>
          <w:sz w:val="22"/>
          <w:szCs w:val="22"/>
        </w:rPr>
        <w:t>-</w:t>
      </w:r>
      <w:r>
        <w:rPr>
          <w:rFonts w:cs="Arial"/>
          <w:sz w:val="22"/>
          <w:szCs w:val="22"/>
        </w:rPr>
        <w:tab/>
      </w:r>
      <w:r w:rsidRPr="00A02199">
        <w:rPr>
          <w:rFonts w:cs="Arial"/>
          <w:sz w:val="22"/>
          <w:szCs w:val="22"/>
        </w:rPr>
        <w:t xml:space="preserve">Globalmigration: Essigsäure 3%, Ethanol 50%, MPPO (Fettkontakt) </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6CA58F3C" w14:textId="77777777" w:rsidR="00A02199" w:rsidRPr="00A02199" w:rsidRDefault="00E55CBE" w:rsidP="00A02199">
      <w:pPr>
        <w:pStyle w:val="berschrift2"/>
      </w:pPr>
      <w:r>
        <w:t>G</w:t>
      </w:r>
      <w:r w:rsidR="00A02199" w:rsidRPr="00A02199">
        <w:t>las:</w:t>
      </w:r>
    </w:p>
    <w:p w14:paraId="2674CF6F" w14:textId="77777777" w:rsidR="00A02199" w:rsidRPr="004D3B85" w:rsidRDefault="00A02199" w:rsidP="00A02199">
      <w:pPr>
        <w:ind w:left="426"/>
        <w:jc w:val="both"/>
        <w:rPr>
          <w:rFonts w:cs="Arial"/>
          <w:sz w:val="22"/>
          <w:szCs w:val="22"/>
        </w:rPr>
      </w:pPr>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4"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5"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5"/>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4"/>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 xml:space="preserve">kontakt wird für alle Lieferungen des Artikels an die Fissler GmbH aufrechterhalten und sichergestellt. Bei Änderungen des Artikels (Rezeptur, Konstruktion, Verarbeitung, etc.) oder bei Änderung der gesetzlichen </w:t>
      </w:r>
      <w:r w:rsidRPr="00467C8E">
        <w:rPr>
          <w:rFonts w:cs="Arial"/>
          <w:sz w:val="22"/>
          <w:szCs w:val="22"/>
        </w:rPr>
        <w:lastRenderedPageBreak/>
        <w:t>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IZNW9Scy+5nhXGynQN4A94MEtZIcpRdufe4asxSGhZByNUv+kiLQ0VgWalSPLtB/+obW8ER7JKeAgZxM4PYCQ==" w:salt="Qpbl0qdazMvzzG1096rI2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372B1"/>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 w:val="00FD1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http://schemas.microsoft.com/office/2006/documentManagement/types"/>
    <ds:schemaRef ds:uri="http://purl.org/dc/elements/1.1/"/>
    <ds:schemaRef ds:uri="http://schemas.microsoft.com/office/2006/metadata/properties"/>
    <ds:schemaRef ds:uri="32f17b31-a6ea-40c5-8afa-961408f627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4952</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5506</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8</cp:revision>
  <cp:lastPrinted>2012-08-08T09:23:00Z</cp:lastPrinted>
  <dcterms:created xsi:type="dcterms:W3CDTF">2021-06-23T06:39:00Z</dcterms:created>
  <dcterms:modified xsi:type="dcterms:W3CDTF">2021-07-16T07:39:00Z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