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2019A40F" w14:textId="77777777" w:rsidR="00391B40" w:rsidRPr="00A02199" w:rsidRDefault="007B74CB" w:rsidP="00E13019">
      <w:pPr>
        <w:pStyle w:val="berschrift2"/>
      </w:pPr>
      <w:bookmarkStart w:id="2" w:name="_Hlk42845624"/>
      <w:r w:rsidRPr="00A02199">
        <w:t>PTFE-Beschichtungen</w:t>
      </w:r>
      <w:r w:rsidR="00391B40" w:rsidRPr="00A02199">
        <w:t>:</w:t>
      </w:r>
    </w:p>
    <w:p w14:paraId="12B786DA" w14:textId="77777777" w:rsidR="00956A1E" w:rsidRPr="00956A1E" w:rsidRDefault="00956A1E" w:rsidP="00E13019">
      <w:pPr>
        <w:ind w:left="426"/>
        <w:jc w:val="both"/>
        <w:rPr>
          <w:rFonts w:cs="Arial"/>
          <w:sz w:val="22"/>
          <w:szCs w:val="22"/>
        </w:rPr>
      </w:pPr>
      <w:r w:rsidRPr="00956A1E">
        <w:rPr>
          <w:rFonts w:cs="Arial"/>
          <w:sz w:val="22"/>
          <w:szCs w:val="22"/>
        </w:rPr>
        <w:t xml:space="preserve">Konformität gemäß </w:t>
      </w:r>
      <w:r>
        <w:rPr>
          <w:rFonts w:cs="Arial"/>
          <w:sz w:val="22"/>
          <w:szCs w:val="22"/>
        </w:rPr>
        <w:t>„</w:t>
      </w:r>
      <w:r w:rsidRPr="00956A1E">
        <w:rPr>
          <w:rFonts w:cs="Arial"/>
          <w:sz w:val="22"/>
          <w:szCs w:val="22"/>
        </w:rPr>
        <w:t>BfR (Bundesinstitut für Risikobewertung) Empfehlungen zu Materialien für den Lebensmittelkontakt</w:t>
      </w:r>
      <w:r>
        <w:rPr>
          <w:rFonts w:cs="Arial"/>
          <w:sz w:val="22"/>
          <w:szCs w:val="22"/>
        </w:rPr>
        <w:t>“</w:t>
      </w:r>
      <w:r w:rsidRPr="00956A1E">
        <w:rPr>
          <w:rFonts w:cs="Arial"/>
          <w:sz w:val="22"/>
          <w:szCs w:val="22"/>
        </w:rPr>
        <w:t xml:space="preserve"> Kapitel LI</w:t>
      </w:r>
      <w:r>
        <w:rPr>
          <w:rFonts w:cs="Arial"/>
          <w:sz w:val="22"/>
          <w:szCs w:val="22"/>
        </w:rPr>
        <w:t xml:space="preserve"> (</w:t>
      </w:r>
      <w:r w:rsidRPr="00956A1E">
        <w:rPr>
          <w:rFonts w:cs="Arial"/>
          <w:sz w:val="22"/>
          <w:szCs w:val="22"/>
        </w:rPr>
        <w:t>Temperaturbeständige Beschichtungssysteme aus Polymeren für Brat-, Koch- und Backgeräte</w:t>
      </w:r>
      <w:r>
        <w:rPr>
          <w:rFonts w:cs="Arial"/>
          <w:sz w:val="22"/>
          <w:szCs w:val="22"/>
        </w:rPr>
        <w:t>)</w:t>
      </w:r>
      <w:r w:rsidRPr="00956A1E">
        <w:rPr>
          <w:rFonts w:cs="Arial"/>
          <w:sz w:val="22"/>
          <w:szCs w:val="22"/>
        </w:rPr>
        <w:t xml:space="preserve"> und für die verwendeten Farbmittel gemäß BfR-Empfehlung Kapitel IX (Farbmittel zum Einfärben von Kunststoffen und anderen Polymeren für Bedarfsgegenstände)</w:t>
      </w:r>
      <w:r>
        <w:rPr>
          <w:rFonts w:cs="Arial"/>
          <w:sz w:val="22"/>
          <w:szCs w:val="22"/>
        </w:rPr>
        <w:t xml:space="preserve">, </w:t>
      </w:r>
      <w:r w:rsidRPr="00956A1E">
        <w:rPr>
          <w:rFonts w:cs="Arial"/>
          <w:sz w:val="22"/>
          <w:szCs w:val="22"/>
        </w:rPr>
        <w:t xml:space="preserve">sowie gemäß „Technical guideline for metals and alloys used in food contact materials and articles“ </w:t>
      </w:r>
      <w:r>
        <w:rPr>
          <w:rFonts w:cs="Arial"/>
          <w:sz w:val="22"/>
          <w:szCs w:val="22"/>
        </w:rPr>
        <w:t>des</w:t>
      </w:r>
      <w:r w:rsidRPr="00956A1E">
        <w:rPr>
          <w:rFonts w:cs="Arial"/>
          <w:sz w:val="22"/>
          <w:szCs w:val="22"/>
        </w:rPr>
        <w:t xml:space="preserve"> EDQM</w:t>
      </w:r>
    </w:p>
    <w:p w14:paraId="1209A783" w14:textId="77777777" w:rsidR="00391B40" w:rsidRPr="007B74CB" w:rsidRDefault="00E55CBE" w:rsidP="00E13019">
      <w:pPr>
        <w:pStyle w:val="berschrift2"/>
      </w:pPr>
      <w:r w:rsidRPr="00E55CBE">
        <w:t>Silikonelastomere</w:t>
      </w:r>
      <w:r w:rsidR="00391B40" w:rsidRPr="007B74CB">
        <w:t>:</w:t>
      </w:r>
    </w:p>
    <w:p w14:paraId="176C053D" w14:textId="77777777" w:rsidR="007B74CB" w:rsidRPr="007B74CB" w:rsidRDefault="007B74CB" w:rsidP="007B74CB">
      <w:pPr>
        <w:ind w:left="426"/>
        <w:jc w:val="both"/>
        <w:rPr>
          <w:rFonts w:cs="Arial"/>
          <w:sz w:val="22"/>
          <w:szCs w:val="22"/>
        </w:rPr>
      </w:pPr>
      <w:r w:rsidRPr="007B74CB">
        <w:rPr>
          <w:rFonts w:cs="Arial"/>
          <w:sz w:val="22"/>
          <w:szCs w:val="22"/>
        </w:rPr>
        <w:t>Konformität gemäß „BfR (Bundesinstitut für Risikobewertung) Empfehlungen zu Materialien für den Lebensmittelkontakt“ Kapitel XV (Sili</w:t>
      </w:r>
      <w:r>
        <w:rPr>
          <w:rFonts w:cs="Arial"/>
          <w:sz w:val="22"/>
          <w:szCs w:val="22"/>
        </w:rPr>
        <w:t>c</w:t>
      </w:r>
      <w:r w:rsidRPr="007B74CB">
        <w:rPr>
          <w:rFonts w:cs="Arial"/>
          <w:sz w:val="22"/>
          <w:szCs w:val="22"/>
        </w:rPr>
        <w:t>on</w:t>
      </w:r>
      <w:r>
        <w:rPr>
          <w:rFonts w:cs="Arial"/>
          <w:sz w:val="22"/>
          <w:szCs w:val="22"/>
        </w:rPr>
        <w:t>e</w:t>
      </w:r>
      <w:r w:rsidRPr="007B74CB">
        <w:rPr>
          <w:rFonts w:cs="Arial"/>
          <w:sz w:val="22"/>
          <w:szCs w:val="22"/>
        </w:rPr>
        <w:t>; Prüfbedingungen für flüchtige Anteile: 200°C 4</w:t>
      </w:r>
      <w:r>
        <w:rPr>
          <w:rFonts w:cs="Arial"/>
          <w:sz w:val="22"/>
          <w:szCs w:val="22"/>
        </w:rPr>
        <w:t> </w:t>
      </w:r>
      <w:r w:rsidRPr="007B74CB">
        <w:rPr>
          <w:rFonts w:cs="Arial"/>
          <w:sz w:val="22"/>
          <w:szCs w:val="22"/>
        </w:rPr>
        <w:t xml:space="preserve">h) und </w:t>
      </w:r>
      <w:r>
        <w:rPr>
          <w:rFonts w:cs="Arial"/>
          <w:sz w:val="22"/>
          <w:szCs w:val="22"/>
        </w:rPr>
        <w:t xml:space="preserve">Kapitel </w:t>
      </w:r>
      <w:r w:rsidRPr="007B74CB">
        <w:rPr>
          <w:rFonts w:cs="Arial"/>
          <w:sz w:val="22"/>
          <w:szCs w:val="22"/>
        </w:rPr>
        <w:t xml:space="preserve">IX (Farbmittel zum Einfärben von Kunststoffen und anderen Polymeren für Bedarfsgegenstände) und </w:t>
      </w:r>
      <w:r>
        <w:rPr>
          <w:rFonts w:cs="Arial"/>
          <w:sz w:val="22"/>
          <w:szCs w:val="22"/>
        </w:rPr>
        <w:t>gemäß</w:t>
      </w:r>
      <w:r w:rsidRPr="007B74CB">
        <w:rPr>
          <w:rFonts w:cs="Arial"/>
          <w:sz w:val="22"/>
          <w:szCs w:val="22"/>
        </w:rPr>
        <w:t xml:space="preserve"> des COE</w:t>
      </w:r>
      <w:r>
        <w:rPr>
          <w:rFonts w:cs="Arial"/>
          <w:sz w:val="22"/>
          <w:szCs w:val="22"/>
        </w:rPr>
        <w:t xml:space="preserve"> (council of Europe)</w:t>
      </w:r>
      <w:r w:rsidRPr="007B74CB">
        <w:rPr>
          <w:rFonts w:cs="Arial"/>
          <w:sz w:val="22"/>
          <w:szCs w:val="22"/>
        </w:rPr>
        <w:t xml:space="preserve"> „Policy statement concerning silicones used for food contact applications“</w:t>
      </w:r>
      <w:r w:rsidR="00FA32E3">
        <w:rPr>
          <w:rFonts w:cs="Arial"/>
          <w:sz w:val="22"/>
          <w:szCs w:val="22"/>
        </w:rPr>
        <w:t xml:space="preserve">, sowie der </w:t>
      </w:r>
      <w:r w:rsidR="00FA32E3" w:rsidRPr="00FA32E3">
        <w:rPr>
          <w:rFonts w:cs="Arial"/>
          <w:sz w:val="22"/>
          <w:szCs w:val="22"/>
        </w:rPr>
        <w:t>“Resolution ResAP (2004) 5 on silicones used for food contact”</w:t>
      </w:r>
      <w:r w:rsidRPr="007B74CB">
        <w:rPr>
          <w:rFonts w:cs="Arial"/>
          <w:sz w:val="22"/>
          <w:szCs w:val="22"/>
        </w:rPr>
        <w:t>.</w:t>
      </w:r>
    </w:p>
    <w:p w14:paraId="2611B4ED" w14:textId="77777777" w:rsidR="007B74CB" w:rsidRPr="007B74CB" w:rsidRDefault="007B74CB" w:rsidP="007B74CB">
      <w:pPr>
        <w:ind w:left="426"/>
        <w:jc w:val="both"/>
        <w:rPr>
          <w:rFonts w:cs="Arial"/>
          <w:sz w:val="22"/>
          <w:szCs w:val="22"/>
        </w:rPr>
      </w:pPr>
      <w:r w:rsidRPr="007B74CB">
        <w:rPr>
          <w:rFonts w:cs="Arial"/>
          <w:sz w:val="22"/>
          <w:szCs w:val="22"/>
        </w:rPr>
        <w:t>Anforderung an Übergang von Stoffen in Anlehnung an Verordnung (EU) Nr. 10/2011:</w:t>
      </w:r>
    </w:p>
    <w:p w14:paraId="1056B1AE" w14:textId="77777777" w:rsidR="007B74CB" w:rsidRPr="00A02199" w:rsidRDefault="007B74CB" w:rsidP="007B74CB">
      <w:pPr>
        <w:tabs>
          <w:tab w:val="left" w:pos="993"/>
        </w:tabs>
        <w:ind w:left="993" w:hanging="284"/>
        <w:jc w:val="both"/>
        <w:rPr>
          <w:rFonts w:cs="Arial"/>
          <w:sz w:val="22"/>
          <w:szCs w:val="22"/>
        </w:rPr>
      </w:pPr>
      <w:r w:rsidRPr="00A02199">
        <w:rPr>
          <w:rFonts w:cs="Arial"/>
          <w:sz w:val="22"/>
          <w:szCs w:val="22"/>
        </w:rPr>
        <w:t>-</w:t>
      </w:r>
      <w:r w:rsidR="00A02199">
        <w:rPr>
          <w:rFonts w:cs="Arial"/>
          <w:sz w:val="22"/>
          <w:szCs w:val="22"/>
        </w:rPr>
        <w:tab/>
      </w:r>
      <w:r w:rsidRPr="00A02199">
        <w:rPr>
          <w:rFonts w:cs="Arial"/>
          <w:sz w:val="22"/>
          <w:szCs w:val="22"/>
        </w:rPr>
        <w:t>Globalmigration</w:t>
      </w:r>
      <w:r w:rsidR="00FA32E3" w:rsidRPr="00A02199">
        <w:rPr>
          <w:rFonts w:cs="Arial"/>
          <w:sz w:val="22"/>
          <w:szCs w:val="22"/>
        </w:rPr>
        <w:t>:</w:t>
      </w:r>
      <w:r w:rsidRPr="00A02199">
        <w:rPr>
          <w:rFonts w:cs="Arial"/>
          <w:sz w:val="22"/>
          <w:szCs w:val="22"/>
        </w:rPr>
        <w:t xml:space="preserve"> Essigsäure 3%, Ethanol 50%, MPPO (Fettkontakt) </w:t>
      </w:r>
    </w:p>
    <w:p w14:paraId="69C0C019" w14:textId="77777777" w:rsidR="00391B40" w:rsidRPr="004D3B85" w:rsidRDefault="004D3B85" w:rsidP="00E13019">
      <w:pPr>
        <w:pStyle w:val="berschrift2"/>
      </w:pPr>
      <w:r w:rsidRPr="004D3B85">
        <w:lastRenderedPageBreak/>
        <w:t>Edelstahl, Stahl, Gusseisen und sonstige Metalle (einschließlich Substrate mit Beschichtung)</w:t>
      </w:r>
      <w:r w:rsidR="00391B40" w:rsidRPr="004D3B85">
        <w:t>:</w:t>
      </w:r>
    </w:p>
    <w:p w14:paraId="22966D4E" w14:textId="77777777" w:rsidR="00391B40" w:rsidRPr="00E13019" w:rsidRDefault="004D3B85" w:rsidP="00E1301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p w14:paraId="7FEC043A" w14:textId="77777777" w:rsidR="00391B40" w:rsidRPr="00A02199" w:rsidRDefault="00E55CBE" w:rsidP="00E13019">
      <w:pPr>
        <w:pStyle w:val="berschrift2"/>
      </w:pPr>
      <w:r w:rsidRPr="00E55CBE">
        <w:t>Glas</w:t>
      </w:r>
      <w:r w:rsidR="00391B40" w:rsidRPr="00A02199">
        <w:t>:</w:t>
      </w:r>
    </w:p>
    <w:p w14:paraId="1C6B1C6F" w14:textId="77777777" w:rsidR="004D3B85" w:rsidRPr="004D3B85" w:rsidRDefault="004D3B85" w:rsidP="00E13019">
      <w:pPr>
        <w:ind w:left="426"/>
        <w:jc w:val="both"/>
        <w:rPr>
          <w:rFonts w:cs="Arial"/>
          <w:sz w:val="22"/>
          <w:szCs w:val="22"/>
        </w:rPr>
      </w:pPr>
      <w:bookmarkStart w:id="3" w:name="_Hlk63865483"/>
      <w:r w:rsidRPr="004D3B85">
        <w:rPr>
          <w:rFonts w:cs="Arial"/>
          <w:sz w:val="22"/>
          <w:szCs w:val="22"/>
        </w:rPr>
        <w:t>Konformität gemäß Bedarfsgegenständeverordnung (BedGgstV) Anlage 6 bei Prüfung nach DIN</w:t>
      </w:r>
      <w:r>
        <w:rPr>
          <w:rFonts w:cs="Arial"/>
          <w:sz w:val="22"/>
          <w:szCs w:val="22"/>
        </w:rPr>
        <w:t> </w:t>
      </w:r>
      <w:r w:rsidRPr="004D3B85">
        <w:rPr>
          <w:rFonts w:cs="Arial"/>
          <w:sz w:val="22"/>
          <w:szCs w:val="22"/>
        </w:rPr>
        <w:t>EN</w:t>
      </w:r>
      <w:r>
        <w:rPr>
          <w:rFonts w:cs="Arial"/>
          <w:sz w:val="22"/>
          <w:szCs w:val="22"/>
        </w:rPr>
        <w:t> </w:t>
      </w:r>
      <w:r w:rsidRPr="004D3B85">
        <w:rPr>
          <w:rFonts w:cs="Arial"/>
          <w:sz w:val="22"/>
          <w:szCs w:val="22"/>
        </w:rPr>
        <w:t>1388</w:t>
      </w:r>
      <w:r>
        <w:rPr>
          <w:rFonts w:cs="Arial"/>
          <w:sz w:val="22"/>
          <w:szCs w:val="22"/>
        </w:rPr>
        <w:softHyphen/>
      </w:r>
      <w:r w:rsidRPr="004D3B85">
        <w:rPr>
          <w:rFonts w:cs="Arial"/>
          <w:sz w:val="22"/>
          <w:szCs w:val="22"/>
        </w:rPr>
        <w:t>2</w:t>
      </w:r>
      <w:bookmarkEnd w:id="3"/>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0FA5258D" w14:textId="77777777" w:rsidR="00A02199" w:rsidRPr="00A02199" w:rsidRDefault="00A02199" w:rsidP="00A02199">
      <w:pPr>
        <w:pStyle w:val="berschrift2"/>
      </w:pPr>
      <w:r w:rsidRPr="00A02199">
        <w:t>PTFE-Beschichtungen:</w:t>
      </w:r>
    </w:p>
    <w:p w14:paraId="4D9E4865" w14:textId="77777777" w:rsidR="00A02199" w:rsidRPr="00956A1E" w:rsidRDefault="00A02199" w:rsidP="00A02199">
      <w:pPr>
        <w:ind w:left="426"/>
        <w:jc w:val="both"/>
        <w:rPr>
          <w:rFonts w:cs="Arial"/>
          <w:sz w:val="22"/>
          <w:szCs w:val="22"/>
        </w:rPr>
      </w:pPr>
      <w:r w:rsidRPr="00956A1E">
        <w:rPr>
          <w:rFonts w:cs="Arial"/>
          <w:sz w:val="22"/>
          <w:szCs w:val="22"/>
        </w:rPr>
        <w:t xml:space="preserve">Konformität gemäß </w:t>
      </w:r>
      <w:r>
        <w:rPr>
          <w:rFonts w:cs="Arial"/>
          <w:sz w:val="22"/>
          <w:szCs w:val="22"/>
        </w:rPr>
        <w:t>„</w:t>
      </w:r>
      <w:r w:rsidRPr="00956A1E">
        <w:rPr>
          <w:rFonts w:cs="Arial"/>
          <w:sz w:val="22"/>
          <w:szCs w:val="22"/>
        </w:rPr>
        <w:t>BfR (Bundesinstitut für Risikobewertung) Empfehlungen zu Materialien für den Lebensmittelkontakt</w:t>
      </w:r>
      <w:r>
        <w:rPr>
          <w:rFonts w:cs="Arial"/>
          <w:sz w:val="22"/>
          <w:szCs w:val="22"/>
        </w:rPr>
        <w:t>“</w:t>
      </w:r>
      <w:r w:rsidRPr="00956A1E">
        <w:rPr>
          <w:rFonts w:cs="Arial"/>
          <w:sz w:val="22"/>
          <w:szCs w:val="22"/>
        </w:rPr>
        <w:t xml:space="preserve"> Kapitel LI</w:t>
      </w:r>
      <w:r>
        <w:rPr>
          <w:rFonts w:cs="Arial"/>
          <w:sz w:val="22"/>
          <w:szCs w:val="22"/>
        </w:rPr>
        <w:t xml:space="preserve"> (</w:t>
      </w:r>
      <w:r w:rsidRPr="00956A1E">
        <w:rPr>
          <w:rFonts w:cs="Arial"/>
          <w:sz w:val="22"/>
          <w:szCs w:val="22"/>
        </w:rPr>
        <w:t>Temperaturbeständige Beschichtungssysteme aus Polymeren für Brat-, Koch- und Backgeräte</w:t>
      </w:r>
      <w:r>
        <w:rPr>
          <w:rFonts w:cs="Arial"/>
          <w:sz w:val="22"/>
          <w:szCs w:val="22"/>
        </w:rPr>
        <w:t>)</w:t>
      </w:r>
      <w:r w:rsidRPr="00956A1E">
        <w:rPr>
          <w:rFonts w:cs="Arial"/>
          <w:sz w:val="22"/>
          <w:szCs w:val="22"/>
        </w:rPr>
        <w:t xml:space="preserve"> und für die verwendeten Farbmittel gemäß BfR-Empfehlung Kapitel IX (Farbmittel zum Einfärben von Kunststoffen und anderen Polymeren für Bedarfsgegenstände)</w:t>
      </w:r>
      <w:r>
        <w:rPr>
          <w:rFonts w:cs="Arial"/>
          <w:sz w:val="22"/>
          <w:szCs w:val="22"/>
        </w:rPr>
        <w:t xml:space="preserve">, </w:t>
      </w:r>
      <w:r w:rsidRPr="00956A1E">
        <w:rPr>
          <w:rFonts w:cs="Arial"/>
          <w:sz w:val="22"/>
          <w:szCs w:val="22"/>
        </w:rPr>
        <w:t xml:space="preserve">sowie gemäß „Technical guideline for metals and alloys used in food contact materials and articles“ </w:t>
      </w:r>
      <w:r>
        <w:rPr>
          <w:rFonts w:cs="Arial"/>
          <w:sz w:val="22"/>
          <w:szCs w:val="22"/>
        </w:rPr>
        <w:t>des</w:t>
      </w:r>
      <w:r w:rsidRPr="00956A1E">
        <w:rPr>
          <w:rFonts w:cs="Arial"/>
          <w:sz w:val="22"/>
          <w:szCs w:val="22"/>
        </w:rPr>
        <w:t xml:space="preserve"> EDQM</w:t>
      </w:r>
    </w:p>
    <w:p w14:paraId="751D5859" w14:textId="77777777" w:rsidR="00A02199" w:rsidRPr="007B74CB" w:rsidRDefault="00E55CBE" w:rsidP="00A02199">
      <w:pPr>
        <w:pStyle w:val="berschrift2"/>
      </w:pPr>
      <w:r w:rsidRPr="00E55CBE">
        <w:t>Silikonelastomere</w:t>
      </w:r>
      <w:r w:rsidR="00A02199" w:rsidRPr="007B74CB">
        <w:t>:</w:t>
      </w:r>
    </w:p>
    <w:p w14:paraId="01D34C71" w14:textId="77777777" w:rsidR="00A02199" w:rsidRPr="007B74CB" w:rsidRDefault="00A02199" w:rsidP="00A02199">
      <w:pPr>
        <w:ind w:left="426"/>
        <w:jc w:val="both"/>
        <w:rPr>
          <w:rFonts w:cs="Arial"/>
          <w:sz w:val="22"/>
          <w:szCs w:val="22"/>
        </w:rPr>
      </w:pPr>
      <w:r w:rsidRPr="007B74CB">
        <w:rPr>
          <w:rFonts w:cs="Arial"/>
          <w:sz w:val="22"/>
          <w:szCs w:val="22"/>
        </w:rPr>
        <w:t>Konformität gemäß „BfR (Bundesinstitut für Risikobewertung) Empfehlungen zu Materialien für den Lebensmittelkontakt“ Kapitel XV (Sili</w:t>
      </w:r>
      <w:r>
        <w:rPr>
          <w:rFonts w:cs="Arial"/>
          <w:sz w:val="22"/>
          <w:szCs w:val="22"/>
        </w:rPr>
        <w:t>c</w:t>
      </w:r>
      <w:r w:rsidRPr="007B74CB">
        <w:rPr>
          <w:rFonts w:cs="Arial"/>
          <w:sz w:val="22"/>
          <w:szCs w:val="22"/>
        </w:rPr>
        <w:t>on</w:t>
      </w:r>
      <w:r>
        <w:rPr>
          <w:rFonts w:cs="Arial"/>
          <w:sz w:val="22"/>
          <w:szCs w:val="22"/>
        </w:rPr>
        <w:t>e</w:t>
      </w:r>
      <w:r w:rsidRPr="007B74CB">
        <w:rPr>
          <w:rFonts w:cs="Arial"/>
          <w:sz w:val="22"/>
          <w:szCs w:val="22"/>
        </w:rPr>
        <w:t>; Prüfbedingungen für flüchtige Anteile: 200°C 4</w:t>
      </w:r>
      <w:r>
        <w:rPr>
          <w:rFonts w:cs="Arial"/>
          <w:sz w:val="22"/>
          <w:szCs w:val="22"/>
        </w:rPr>
        <w:t> </w:t>
      </w:r>
      <w:r w:rsidRPr="007B74CB">
        <w:rPr>
          <w:rFonts w:cs="Arial"/>
          <w:sz w:val="22"/>
          <w:szCs w:val="22"/>
        </w:rPr>
        <w:t xml:space="preserve">h) und </w:t>
      </w:r>
      <w:r>
        <w:rPr>
          <w:rFonts w:cs="Arial"/>
          <w:sz w:val="22"/>
          <w:szCs w:val="22"/>
        </w:rPr>
        <w:t xml:space="preserve">Kapitel </w:t>
      </w:r>
      <w:r w:rsidRPr="007B74CB">
        <w:rPr>
          <w:rFonts w:cs="Arial"/>
          <w:sz w:val="22"/>
          <w:szCs w:val="22"/>
        </w:rPr>
        <w:t xml:space="preserve">IX (Farbmittel zum Einfärben von Kunststoffen und anderen Polymeren für Bedarfsgegenstände) und </w:t>
      </w:r>
      <w:r>
        <w:rPr>
          <w:rFonts w:cs="Arial"/>
          <w:sz w:val="22"/>
          <w:szCs w:val="22"/>
        </w:rPr>
        <w:t>gemäß</w:t>
      </w:r>
      <w:r w:rsidRPr="007B74CB">
        <w:rPr>
          <w:rFonts w:cs="Arial"/>
          <w:sz w:val="22"/>
          <w:szCs w:val="22"/>
        </w:rPr>
        <w:t xml:space="preserve"> des COE</w:t>
      </w:r>
      <w:r>
        <w:rPr>
          <w:rFonts w:cs="Arial"/>
          <w:sz w:val="22"/>
          <w:szCs w:val="22"/>
        </w:rPr>
        <w:t xml:space="preserve"> (council of Europe)</w:t>
      </w:r>
      <w:r w:rsidRPr="007B74CB">
        <w:rPr>
          <w:rFonts w:cs="Arial"/>
          <w:sz w:val="22"/>
          <w:szCs w:val="22"/>
        </w:rPr>
        <w:t xml:space="preserve"> „Policy statement concerning silicones used for food contact applications“</w:t>
      </w:r>
      <w:r>
        <w:rPr>
          <w:rFonts w:cs="Arial"/>
          <w:sz w:val="22"/>
          <w:szCs w:val="22"/>
        </w:rPr>
        <w:t xml:space="preserve">, sowie der </w:t>
      </w:r>
      <w:r w:rsidRPr="00FA32E3">
        <w:rPr>
          <w:rFonts w:cs="Arial"/>
          <w:sz w:val="22"/>
          <w:szCs w:val="22"/>
        </w:rPr>
        <w:t>“Resolution ResAP (2004) 5 on silicones used for food contact”</w:t>
      </w:r>
      <w:r w:rsidRPr="007B74CB">
        <w:rPr>
          <w:rFonts w:cs="Arial"/>
          <w:sz w:val="22"/>
          <w:szCs w:val="22"/>
        </w:rPr>
        <w:t>.</w:t>
      </w:r>
    </w:p>
    <w:p w14:paraId="22283324" w14:textId="77777777" w:rsidR="00A02199" w:rsidRPr="007B74CB" w:rsidRDefault="00A02199" w:rsidP="00A02199">
      <w:pPr>
        <w:ind w:left="426"/>
        <w:jc w:val="both"/>
        <w:rPr>
          <w:rFonts w:cs="Arial"/>
          <w:sz w:val="22"/>
          <w:szCs w:val="22"/>
        </w:rPr>
      </w:pPr>
      <w:r w:rsidRPr="007B74CB">
        <w:rPr>
          <w:rFonts w:cs="Arial"/>
          <w:sz w:val="22"/>
          <w:szCs w:val="22"/>
        </w:rPr>
        <w:t>Anforderung an Übergang von Stoffen in Anlehnung an Verordnung (EU) Nr. 10/2011:</w:t>
      </w:r>
    </w:p>
    <w:p w14:paraId="7B3EA65F" w14:textId="77777777" w:rsidR="00A02199" w:rsidRPr="00A02199" w:rsidRDefault="00A02199" w:rsidP="00A02199">
      <w:pPr>
        <w:tabs>
          <w:tab w:val="left" w:pos="993"/>
        </w:tabs>
        <w:ind w:left="993" w:hanging="284"/>
        <w:jc w:val="both"/>
        <w:rPr>
          <w:rFonts w:cs="Arial"/>
          <w:sz w:val="22"/>
          <w:szCs w:val="22"/>
        </w:rPr>
      </w:pPr>
      <w:r w:rsidRPr="00A02199">
        <w:rPr>
          <w:rFonts w:cs="Arial"/>
          <w:sz w:val="22"/>
          <w:szCs w:val="22"/>
        </w:rPr>
        <w:t>-</w:t>
      </w:r>
      <w:r>
        <w:rPr>
          <w:rFonts w:cs="Arial"/>
          <w:sz w:val="22"/>
          <w:szCs w:val="22"/>
        </w:rPr>
        <w:tab/>
      </w:r>
      <w:r w:rsidRPr="00A02199">
        <w:rPr>
          <w:rFonts w:cs="Arial"/>
          <w:sz w:val="22"/>
          <w:szCs w:val="22"/>
        </w:rPr>
        <w:t xml:space="preserve">Globalmigration: Essigsäure 3%, Ethanol 50%, MPPO (Fettkontakt) </w:t>
      </w:r>
    </w:p>
    <w:p w14:paraId="1578F1A2" w14:textId="77777777" w:rsidR="00A02199" w:rsidRPr="004D3B85" w:rsidRDefault="00A02199" w:rsidP="00A02199">
      <w:pPr>
        <w:pStyle w:val="berschrift2"/>
      </w:pPr>
      <w:r w:rsidRPr="004D3B85">
        <w:t>Edelstahl, Stahl, Gusseisen und sonstige Metalle (einschließlich Substrate mit Beschichtung):</w:t>
      </w:r>
    </w:p>
    <w:p w14:paraId="5BDA9C28" w14:textId="77777777" w:rsidR="00A02199" w:rsidRPr="00E13019" w:rsidRDefault="00A02199" w:rsidP="00A0219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p w14:paraId="6CA58F3C" w14:textId="77777777" w:rsidR="00A02199" w:rsidRPr="00A02199" w:rsidRDefault="00E55CBE" w:rsidP="00A02199">
      <w:pPr>
        <w:pStyle w:val="berschrift2"/>
      </w:pPr>
      <w:r>
        <w:t>G</w:t>
      </w:r>
      <w:r w:rsidR="00A02199" w:rsidRPr="00A02199">
        <w:t>las:</w:t>
      </w:r>
    </w:p>
    <w:p w14:paraId="2674CF6F" w14:textId="77777777" w:rsidR="00A02199" w:rsidRPr="004D3B85" w:rsidRDefault="00A02199" w:rsidP="00A02199">
      <w:pPr>
        <w:ind w:left="426"/>
        <w:jc w:val="both"/>
        <w:rPr>
          <w:rFonts w:cs="Arial"/>
          <w:sz w:val="22"/>
          <w:szCs w:val="22"/>
        </w:rPr>
      </w:pPr>
      <w:r w:rsidRPr="004D3B85">
        <w:rPr>
          <w:rFonts w:cs="Arial"/>
          <w:sz w:val="22"/>
          <w:szCs w:val="22"/>
        </w:rPr>
        <w:t>Konformität gemäß Bedarfsgegenständeverordnung (BedGgstV) Anlage 6 bei Prüfung nach DIN</w:t>
      </w:r>
      <w:r>
        <w:rPr>
          <w:rFonts w:cs="Arial"/>
          <w:sz w:val="22"/>
          <w:szCs w:val="22"/>
        </w:rPr>
        <w:t> </w:t>
      </w:r>
      <w:r w:rsidRPr="004D3B85">
        <w:rPr>
          <w:rFonts w:cs="Arial"/>
          <w:sz w:val="22"/>
          <w:szCs w:val="22"/>
        </w:rPr>
        <w:t>EN</w:t>
      </w:r>
      <w:r>
        <w:rPr>
          <w:rFonts w:cs="Arial"/>
          <w:sz w:val="22"/>
          <w:szCs w:val="22"/>
        </w:rPr>
        <w:t> </w:t>
      </w:r>
      <w:r w:rsidRPr="004D3B85">
        <w:rPr>
          <w:rFonts w:cs="Arial"/>
          <w:sz w:val="22"/>
          <w:szCs w:val="22"/>
        </w:rPr>
        <w:t>1388</w:t>
      </w:r>
      <w:r>
        <w:rPr>
          <w:rFonts w:cs="Arial"/>
          <w:sz w:val="22"/>
          <w:szCs w:val="22"/>
        </w:rPr>
        <w:softHyphen/>
      </w:r>
      <w:r w:rsidRPr="004D3B85">
        <w:rPr>
          <w:rFonts w:cs="Arial"/>
          <w:sz w:val="22"/>
          <w:szCs w:val="22"/>
        </w:rPr>
        <w:t>2</w:t>
      </w:r>
    </w:p>
    <w:p w14:paraId="7A46D349" w14:textId="77777777" w:rsidR="006E4562" w:rsidRPr="00A02199" w:rsidRDefault="006E4562" w:rsidP="00E13019">
      <w:pPr>
        <w:ind w:left="284"/>
        <w:jc w:val="both"/>
        <w:rPr>
          <w:rFonts w:cs="Arial"/>
          <w:sz w:val="22"/>
          <w:szCs w:val="22"/>
        </w:rPr>
      </w:pPr>
    </w:p>
    <w:p w14:paraId="446E1B04" w14:textId="77777777" w:rsidR="00D71EA5" w:rsidRDefault="00D71EA5">
      <w:pPr>
        <w:spacing w:line="240" w:lineRule="auto"/>
        <w:rPr>
          <w:rFonts w:cs="Arial"/>
          <w:sz w:val="22"/>
          <w:szCs w:val="22"/>
        </w:rPr>
      </w:pPr>
      <w:r>
        <w:rPr>
          <w:rFonts w:cs="Arial"/>
          <w:sz w:val="22"/>
          <w:szCs w:val="22"/>
        </w:rPr>
        <w:br w:type="page"/>
      </w:r>
    </w:p>
    <w:p w14:paraId="0A248EF5" w14:textId="163683E1" w:rsidR="006E4562" w:rsidRPr="00467C8E" w:rsidRDefault="00467C8E" w:rsidP="0091001B">
      <w:pPr>
        <w:spacing w:after="120"/>
        <w:jc w:val="both"/>
        <w:rPr>
          <w:rFonts w:cs="Arial"/>
          <w:sz w:val="22"/>
          <w:szCs w:val="22"/>
        </w:rPr>
      </w:pPr>
      <w:bookmarkStart w:id="4" w:name="_GoBack"/>
      <w:bookmarkEnd w:id="4"/>
      <w:r w:rsidRPr="00467C8E">
        <w:rPr>
          <w:rFonts w:cs="Arial"/>
          <w:sz w:val="22"/>
          <w:szCs w:val="22"/>
        </w:rPr>
        <w:lastRenderedPageBreak/>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5" w:name="_Hlk75331709"/>
            <w:r w:rsidRPr="0091001B">
              <w:rPr>
                <w:rFonts w:cs="Arial"/>
                <w:b/>
                <w:sz w:val="22"/>
                <w:szCs w:val="22"/>
              </w:rPr>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28323D" w14:paraId="242511A8" w14:textId="77777777" w:rsidTr="00897559">
        <w:tc>
          <w:tcPr>
            <w:tcW w:w="4095" w:type="dxa"/>
          </w:tcPr>
          <w:p w14:paraId="118F338D" w14:textId="740BD0A9" w:rsidR="0028323D" w:rsidRPr="0028323D" w:rsidRDefault="0028323D" w:rsidP="0028323D">
            <w:pPr>
              <w:jc w:val="both"/>
              <w:rPr>
                <w:rFonts w:cs="Arial"/>
                <w:sz w:val="22"/>
                <w:szCs w:val="22"/>
              </w:rPr>
            </w:pPr>
            <w:bookmarkStart w:id="6" w:name="_Hlk75341309"/>
            <w:r w:rsidRPr="0028323D">
              <w:rPr>
                <w:rFonts w:cs="Arial"/>
                <w:sz w:val="22"/>
                <w:szCs w:val="22"/>
              </w:rPr>
              <w:t>                              </w:t>
            </w:r>
          </w:p>
        </w:tc>
        <w:tc>
          <w:tcPr>
            <w:tcW w:w="1721" w:type="dxa"/>
          </w:tcPr>
          <w:p w14:paraId="3DB96105" w14:textId="17F0CA61"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0BCBCA85" w14:textId="5316199C"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6"/>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5"/>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kontakt wird für alle Lieferungen des Artikels an die Fissler GmbH aufrechterhalten und sichergestellt. Bei Änderungen des Artikels (Rezeptur, Konstruktion, Verarbeitung, etc.) oder bei Änderung der gesetzlichen 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1F422EE4" w14:textId="77777777" w:rsidR="00DC7BE2" w:rsidRPr="00B84BC0" w:rsidRDefault="00B84BC0" w:rsidP="00E13019">
      <w:pPr>
        <w:spacing w:after="180"/>
        <w:jc w:val="both"/>
        <w:rPr>
          <w:rFonts w:cs="Arial"/>
          <w:sz w:val="22"/>
          <w:szCs w:val="22"/>
        </w:rPr>
      </w:pPr>
      <w:r w:rsidRPr="00B84BC0">
        <w:rPr>
          <w:rFonts w:cs="Arial"/>
          <w:sz w:val="22"/>
          <w:szCs w:val="22"/>
        </w:rPr>
        <w:t>Dieses Zertifikat hat eine Gültigkeit von 5 Jahren.</w:t>
      </w:r>
    </w:p>
    <w:p w14:paraId="490D9B59" w14:textId="77777777" w:rsidR="00B84BC0" w:rsidRDefault="00B84BC0" w:rsidP="00E13019">
      <w:pPr>
        <w:spacing w:after="180"/>
        <w:jc w:val="both"/>
        <w:rPr>
          <w:rFonts w:cs="Arial"/>
          <w:sz w:val="22"/>
          <w:szCs w:val="22"/>
        </w:rPr>
      </w:pPr>
      <w:r w:rsidRPr="00B84BC0">
        <w:rPr>
          <w:rFonts w:cs="Arial"/>
          <w:sz w:val="22"/>
          <w:szCs w:val="22"/>
        </w:rPr>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0D79DA" w14:textId="77777777" w:rsidR="00D97723" w:rsidRPr="00A02199" w:rsidRDefault="00D97723" w:rsidP="00E13019">
      <w:pPr>
        <w:rPr>
          <w:rFonts w:cs="Arial"/>
          <w:sz w:val="22"/>
          <w:szCs w:val="22"/>
        </w:rPr>
      </w:pPr>
    </w:p>
    <w:p w14:paraId="620875D6" w14:textId="77777777" w:rsidR="00D97723" w:rsidRPr="00A02199" w:rsidRDefault="00D97723" w:rsidP="00E13019">
      <w:pPr>
        <w:rPr>
          <w:rFonts w:cs="Arial"/>
          <w:sz w:val="22"/>
          <w:szCs w:val="22"/>
        </w:rPr>
      </w:pPr>
    </w:p>
    <w:p w14:paraId="799D842E" w14:textId="77777777" w:rsidR="00DC7BE2" w:rsidRPr="00A02199" w:rsidRDefault="00DC7BE2" w:rsidP="00E13019">
      <w:pPr>
        <w:rPr>
          <w:rFonts w:cs="Arial"/>
          <w:sz w:val="22"/>
          <w:szCs w:val="22"/>
        </w:rPr>
      </w:pPr>
    </w:p>
    <w:p w14:paraId="2AE4D911" w14:textId="77777777" w:rsidR="00F34BC6" w:rsidRPr="00A02199" w:rsidRDefault="00F34BC6" w:rsidP="00E13019">
      <w:pPr>
        <w:rPr>
          <w:rFonts w:cs="Arial"/>
          <w:sz w:val="22"/>
          <w:szCs w:val="22"/>
        </w:rPr>
      </w:pPr>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x3YTHdxcPOBip7TL3+xocMAGKLEAid5qjOlYOC258bQly+PxPipsgIwLJjvF7rCyZe8DkxGVTUf9WuPlqDJA==" w:salt="i9XPKraUkE8/9NY5H93H3A=="/>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0E5D5D"/>
    <w:rsid w:val="00110BBB"/>
    <w:rsid w:val="00147455"/>
    <w:rsid w:val="001771AF"/>
    <w:rsid w:val="00260CCB"/>
    <w:rsid w:val="0028323D"/>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46847"/>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B2595"/>
    <w:rsid w:val="007B74CB"/>
    <w:rsid w:val="007E13D8"/>
    <w:rsid w:val="007E2B23"/>
    <w:rsid w:val="00813CDB"/>
    <w:rsid w:val="00816B13"/>
    <w:rsid w:val="008255D3"/>
    <w:rsid w:val="00846633"/>
    <w:rsid w:val="008713E3"/>
    <w:rsid w:val="00897559"/>
    <w:rsid w:val="008C6FB9"/>
    <w:rsid w:val="008E121E"/>
    <w:rsid w:val="008F308D"/>
    <w:rsid w:val="008F60D0"/>
    <w:rsid w:val="0091001B"/>
    <w:rsid w:val="00956A1E"/>
    <w:rsid w:val="00984534"/>
    <w:rsid w:val="00997319"/>
    <w:rsid w:val="009E2A48"/>
    <w:rsid w:val="009F31D2"/>
    <w:rsid w:val="009F727C"/>
    <w:rsid w:val="00A01330"/>
    <w:rsid w:val="00A02199"/>
    <w:rsid w:val="00A21AE3"/>
    <w:rsid w:val="00A67C5C"/>
    <w:rsid w:val="00A958CA"/>
    <w:rsid w:val="00AA38A1"/>
    <w:rsid w:val="00B05000"/>
    <w:rsid w:val="00B84BC0"/>
    <w:rsid w:val="00BA7E68"/>
    <w:rsid w:val="00BB2682"/>
    <w:rsid w:val="00C04834"/>
    <w:rsid w:val="00C0679A"/>
    <w:rsid w:val="00C25777"/>
    <w:rsid w:val="00C3433B"/>
    <w:rsid w:val="00C84B9D"/>
    <w:rsid w:val="00D00067"/>
    <w:rsid w:val="00D37ECE"/>
    <w:rsid w:val="00D5194A"/>
    <w:rsid w:val="00D66112"/>
    <w:rsid w:val="00D71EA5"/>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8D44461B-2481-4297-A915-FDD41E8DD6B9}">
  <ds:schemaRefs>
    <ds:schemaRef ds:uri="32f17b31-a6ea-40c5-8afa-961408f627ab"/>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b96e44bb-c683-4a33-8ddd-31357e918f7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5635</Characters>
  <Application>Microsoft Office Word</Application>
  <DocSecurity>8</DocSecurity>
  <Lines>46</Lines>
  <Paragraphs>13</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6516</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8</cp:revision>
  <cp:lastPrinted>2012-08-08T09:23:00Z</cp:lastPrinted>
  <dcterms:created xsi:type="dcterms:W3CDTF">2021-06-23T06:39:00Z</dcterms:created>
  <dcterms:modified xsi:type="dcterms:W3CDTF">2021-10-12T09:47:00Z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