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3EA071A7" w14:textId="77777777" w:rsidR="00FA32E3" w:rsidRPr="00FA32E3" w:rsidRDefault="00FA32E3" w:rsidP="00FA32E3">
      <w:pPr>
        <w:pStyle w:val="berschrift2"/>
      </w:pPr>
      <w:bookmarkStart w:id="2" w:name="_Hlk42845624"/>
      <w:r w:rsidRPr="00FA32E3">
        <w:t>Aluminium- Gusslegierungen:</w:t>
      </w:r>
    </w:p>
    <w:p w14:paraId="2C34DC20" w14:textId="77777777" w:rsidR="00391B40" w:rsidRPr="0078058B" w:rsidRDefault="00FA32E3" w:rsidP="00E13019">
      <w:pPr>
        <w:ind w:left="426"/>
        <w:jc w:val="both"/>
        <w:rPr>
          <w:rFonts w:cs="Arial"/>
          <w:sz w:val="22"/>
          <w:szCs w:val="22"/>
        </w:rPr>
      </w:pPr>
      <w:r w:rsidRPr="0078058B">
        <w:rPr>
          <w:rFonts w:cs="Arial"/>
          <w:sz w:val="22"/>
          <w:szCs w:val="22"/>
        </w:rPr>
        <w:t xml:space="preserve">Konformität gemäß </w:t>
      </w:r>
      <w:r w:rsidR="00391B40" w:rsidRPr="0078058B">
        <w:rPr>
          <w:rFonts w:cs="Arial"/>
          <w:sz w:val="22"/>
          <w:szCs w:val="22"/>
        </w:rPr>
        <w:t>DIN EN 601</w:t>
      </w:r>
      <w:r w:rsidR="004B1BB2" w:rsidRPr="0078058B">
        <w:rPr>
          <w:rFonts w:cs="Arial"/>
          <w:sz w:val="22"/>
          <w:szCs w:val="22"/>
        </w:rPr>
        <w:t xml:space="preserve"> </w:t>
      </w:r>
      <w:r w:rsidRPr="0078058B">
        <w:rPr>
          <w:rFonts w:cs="Arial"/>
          <w:sz w:val="22"/>
          <w:szCs w:val="22"/>
        </w:rPr>
        <w:t xml:space="preserve">und gemäß „Technical </w:t>
      </w:r>
      <w:proofErr w:type="spellStart"/>
      <w:r w:rsidRPr="0078058B">
        <w:rPr>
          <w:rFonts w:cs="Arial"/>
          <w:sz w:val="22"/>
          <w:szCs w:val="22"/>
        </w:rPr>
        <w:t>guideline</w:t>
      </w:r>
      <w:proofErr w:type="spellEnd"/>
      <w:r w:rsidRPr="0078058B">
        <w:rPr>
          <w:rFonts w:cs="Arial"/>
          <w:sz w:val="22"/>
          <w:szCs w:val="22"/>
        </w:rPr>
        <w:t xml:space="preserve"> </w:t>
      </w:r>
      <w:proofErr w:type="spellStart"/>
      <w:r w:rsidRPr="0078058B">
        <w:rPr>
          <w:rFonts w:cs="Arial"/>
          <w:sz w:val="22"/>
          <w:szCs w:val="22"/>
        </w:rPr>
        <w:t>for</w:t>
      </w:r>
      <w:proofErr w:type="spellEnd"/>
      <w:r w:rsidRPr="0078058B">
        <w:rPr>
          <w:rFonts w:cs="Arial"/>
          <w:sz w:val="22"/>
          <w:szCs w:val="22"/>
        </w:rPr>
        <w:t xml:space="preserve"> </w:t>
      </w:r>
      <w:proofErr w:type="spellStart"/>
      <w:r w:rsidRPr="0078058B">
        <w:rPr>
          <w:rFonts w:cs="Arial"/>
          <w:sz w:val="22"/>
          <w:szCs w:val="22"/>
        </w:rPr>
        <w:t>metals</w:t>
      </w:r>
      <w:proofErr w:type="spellEnd"/>
      <w:r w:rsidRPr="0078058B">
        <w:rPr>
          <w:rFonts w:cs="Arial"/>
          <w:sz w:val="22"/>
          <w:szCs w:val="22"/>
        </w:rPr>
        <w:t xml:space="preserve"> and </w:t>
      </w:r>
      <w:proofErr w:type="spellStart"/>
      <w:r w:rsidRPr="0078058B">
        <w:rPr>
          <w:rFonts w:cs="Arial"/>
          <w:sz w:val="22"/>
          <w:szCs w:val="22"/>
        </w:rPr>
        <w:t>alloys</w:t>
      </w:r>
      <w:proofErr w:type="spellEnd"/>
      <w:r w:rsidRPr="0078058B">
        <w:rPr>
          <w:rFonts w:cs="Arial"/>
          <w:sz w:val="22"/>
          <w:szCs w:val="22"/>
        </w:rPr>
        <w:t xml:space="preserve"> </w:t>
      </w:r>
      <w:proofErr w:type="spellStart"/>
      <w:r w:rsidRPr="0078058B">
        <w:rPr>
          <w:rFonts w:cs="Arial"/>
          <w:sz w:val="22"/>
          <w:szCs w:val="22"/>
        </w:rPr>
        <w:t>used</w:t>
      </w:r>
      <w:proofErr w:type="spellEnd"/>
      <w:r w:rsidRPr="0078058B">
        <w:rPr>
          <w:rFonts w:cs="Arial"/>
          <w:sz w:val="22"/>
          <w:szCs w:val="22"/>
        </w:rPr>
        <w:t xml:space="preserve"> in </w:t>
      </w:r>
      <w:proofErr w:type="spellStart"/>
      <w:r w:rsidRPr="0078058B">
        <w:rPr>
          <w:rFonts w:cs="Arial"/>
          <w:sz w:val="22"/>
          <w:szCs w:val="22"/>
        </w:rPr>
        <w:t>food</w:t>
      </w:r>
      <w:proofErr w:type="spellEnd"/>
      <w:r w:rsidRPr="0078058B">
        <w:rPr>
          <w:rFonts w:cs="Arial"/>
          <w:sz w:val="22"/>
          <w:szCs w:val="22"/>
        </w:rPr>
        <w:t xml:space="preserve"> </w:t>
      </w:r>
      <w:proofErr w:type="spellStart"/>
      <w:r w:rsidRPr="0078058B">
        <w:rPr>
          <w:rFonts w:cs="Arial"/>
          <w:sz w:val="22"/>
          <w:szCs w:val="22"/>
        </w:rPr>
        <w:t>contact</w:t>
      </w:r>
      <w:proofErr w:type="spellEnd"/>
      <w:r w:rsidRPr="0078058B">
        <w:rPr>
          <w:rFonts w:cs="Arial"/>
          <w:sz w:val="22"/>
          <w:szCs w:val="22"/>
        </w:rPr>
        <w:t xml:space="preserve"> </w:t>
      </w:r>
      <w:proofErr w:type="spellStart"/>
      <w:r w:rsidRPr="0078058B">
        <w:rPr>
          <w:rFonts w:cs="Arial"/>
          <w:sz w:val="22"/>
          <w:szCs w:val="22"/>
        </w:rPr>
        <w:t>materials</w:t>
      </w:r>
      <w:proofErr w:type="spellEnd"/>
      <w:r w:rsidRPr="0078058B">
        <w:rPr>
          <w:rFonts w:cs="Arial"/>
          <w:sz w:val="22"/>
          <w:szCs w:val="22"/>
        </w:rPr>
        <w:t xml:space="preserve"> and </w:t>
      </w:r>
      <w:proofErr w:type="spellStart"/>
      <w:r w:rsidRPr="0078058B">
        <w:rPr>
          <w:rFonts w:cs="Arial"/>
          <w:sz w:val="22"/>
          <w:szCs w:val="22"/>
        </w:rPr>
        <w:t>articles</w:t>
      </w:r>
      <w:proofErr w:type="spellEnd"/>
      <w:r w:rsidRPr="0078058B">
        <w:rPr>
          <w:rFonts w:cs="Arial"/>
          <w:sz w:val="22"/>
          <w:szCs w:val="22"/>
        </w:rPr>
        <w:t>“ des EDQM</w:t>
      </w:r>
    </w:p>
    <w:p w14:paraId="02ED83E8" w14:textId="77777777" w:rsidR="00391B40" w:rsidRPr="0078058B" w:rsidRDefault="00A02199" w:rsidP="00E13019">
      <w:pPr>
        <w:pStyle w:val="berschrift2"/>
      </w:pPr>
      <w:r w:rsidRPr="0078058B">
        <w:t>A</w:t>
      </w:r>
      <w:r w:rsidR="004D3B85" w:rsidRPr="0078058B">
        <w:t>luminium-Knetlegierungen</w:t>
      </w:r>
      <w:r w:rsidR="00391B40" w:rsidRPr="0078058B">
        <w:t>:</w:t>
      </w:r>
    </w:p>
    <w:p w14:paraId="6CEA0B4F" w14:textId="77777777" w:rsidR="00391B40" w:rsidRPr="0078058B" w:rsidRDefault="00FA32E3" w:rsidP="00E13019">
      <w:pPr>
        <w:ind w:left="426"/>
        <w:jc w:val="both"/>
        <w:rPr>
          <w:rFonts w:cs="Arial"/>
          <w:sz w:val="22"/>
          <w:szCs w:val="22"/>
        </w:rPr>
      </w:pPr>
      <w:r w:rsidRPr="0078058B">
        <w:rPr>
          <w:rFonts w:cs="Arial"/>
          <w:sz w:val="22"/>
          <w:szCs w:val="22"/>
        </w:rPr>
        <w:t xml:space="preserve">Konformität gemäß </w:t>
      </w:r>
      <w:r w:rsidR="00391B40" w:rsidRPr="0078058B">
        <w:rPr>
          <w:rFonts w:cs="Arial"/>
          <w:sz w:val="22"/>
          <w:szCs w:val="22"/>
        </w:rPr>
        <w:t>DIN EN 602</w:t>
      </w:r>
      <w:r w:rsidR="004B1BB2" w:rsidRPr="0078058B">
        <w:rPr>
          <w:rFonts w:cs="Arial"/>
          <w:sz w:val="22"/>
          <w:szCs w:val="22"/>
        </w:rPr>
        <w:t xml:space="preserve"> </w:t>
      </w:r>
      <w:r w:rsidRPr="0078058B">
        <w:rPr>
          <w:rFonts w:cs="Arial"/>
          <w:sz w:val="22"/>
          <w:szCs w:val="22"/>
        </w:rPr>
        <w:t xml:space="preserve">und gemäß „Technical </w:t>
      </w:r>
      <w:proofErr w:type="spellStart"/>
      <w:r w:rsidRPr="0078058B">
        <w:rPr>
          <w:rFonts w:cs="Arial"/>
          <w:sz w:val="22"/>
          <w:szCs w:val="22"/>
        </w:rPr>
        <w:t>guideline</w:t>
      </w:r>
      <w:proofErr w:type="spellEnd"/>
      <w:r w:rsidRPr="0078058B">
        <w:rPr>
          <w:rFonts w:cs="Arial"/>
          <w:sz w:val="22"/>
          <w:szCs w:val="22"/>
        </w:rPr>
        <w:t xml:space="preserve"> </w:t>
      </w:r>
      <w:proofErr w:type="spellStart"/>
      <w:r w:rsidRPr="0078058B">
        <w:rPr>
          <w:rFonts w:cs="Arial"/>
          <w:sz w:val="22"/>
          <w:szCs w:val="22"/>
        </w:rPr>
        <w:t>for</w:t>
      </w:r>
      <w:proofErr w:type="spellEnd"/>
      <w:r w:rsidRPr="0078058B">
        <w:rPr>
          <w:rFonts w:cs="Arial"/>
          <w:sz w:val="22"/>
          <w:szCs w:val="22"/>
        </w:rPr>
        <w:t xml:space="preserve"> </w:t>
      </w:r>
      <w:proofErr w:type="spellStart"/>
      <w:r w:rsidRPr="0078058B">
        <w:rPr>
          <w:rFonts w:cs="Arial"/>
          <w:sz w:val="22"/>
          <w:szCs w:val="22"/>
        </w:rPr>
        <w:t>metals</w:t>
      </w:r>
      <w:proofErr w:type="spellEnd"/>
      <w:r w:rsidRPr="0078058B">
        <w:rPr>
          <w:rFonts w:cs="Arial"/>
          <w:sz w:val="22"/>
          <w:szCs w:val="22"/>
        </w:rPr>
        <w:t xml:space="preserve"> and </w:t>
      </w:r>
      <w:proofErr w:type="spellStart"/>
      <w:r w:rsidRPr="0078058B">
        <w:rPr>
          <w:rFonts w:cs="Arial"/>
          <w:sz w:val="22"/>
          <w:szCs w:val="22"/>
        </w:rPr>
        <w:t>alloys</w:t>
      </w:r>
      <w:proofErr w:type="spellEnd"/>
      <w:r w:rsidRPr="0078058B">
        <w:rPr>
          <w:rFonts w:cs="Arial"/>
          <w:sz w:val="22"/>
          <w:szCs w:val="22"/>
        </w:rPr>
        <w:t xml:space="preserve"> </w:t>
      </w:r>
      <w:proofErr w:type="spellStart"/>
      <w:r w:rsidRPr="0078058B">
        <w:rPr>
          <w:rFonts w:cs="Arial"/>
          <w:sz w:val="22"/>
          <w:szCs w:val="22"/>
        </w:rPr>
        <w:t>used</w:t>
      </w:r>
      <w:proofErr w:type="spellEnd"/>
      <w:r w:rsidRPr="0078058B">
        <w:rPr>
          <w:rFonts w:cs="Arial"/>
          <w:sz w:val="22"/>
          <w:szCs w:val="22"/>
        </w:rPr>
        <w:t xml:space="preserve"> in </w:t>
      </w:r>
      <w:proofErr w:type="spellStart"/>
      <w:r w:rsidRPr="0078058B">
        <w:rPr>
          <w:rFonts w:cs="Arial"/>
          <w:sz w:val="22"/>
          <w:szCs w:val="22"/>
        </w:rPr>
        <w:t>food</w:t>
      </w:r>
      <w:proofErr w:type="spellEnd"/>
      <w:r w:rsidRPr="0078058B">
        <w:rPr>
          <w:rFonts w:cs="Arial"/>
          <w:sz w:val="22"/>
          <w:szCs w:val="22"/>
        </w:rPr>
        <w:t xml:space="preserve"> </w:t>
      </w:r>
      <w:proofErr w:type="spellStart"/>
      <w:r w:rsidRPr="0078058B">
        <w:rPr>
          <w:rFonts w:cs="Arial"/>
          <w:sz w:val="22"/>
          <w:szCs w:val="22"/>
        </w:rPr>
        <w:t>contact</w:t>
      </w:r>
      <w:proofErr w:type="spellEnd"/>
      <w:r w:rsidRPr="0078058B">
        <w:rPr>
          <w:rFonts w:cs="Arial"/>
          <w:sz w:val="22"/>
          <w:szCs w:val="22"/>
        </w:rPr>
        <w:t xml:space="preserve"> </w:t>
      </w:r>
      <w:proofErr w:type="spellStart"/>
      <w:r w:rsidRPr="0078058B">
        <w:rPr>
          <w:rFonts w:cs="Arial"/>
          <w:sz w:val="22"/>
          <w:szCs w:val="22"/>
        </w:rPr>
        <w:t>materials</w:t>
      </w:r>
      <w:proofErr w:type="spellEnd"/>
      <w:r w:rsidRPr="0078058B">
        <w:rPr>
          <w:rFonts w:cs="Arial"/>
          <w:sz w:val="22"/>
          <w:szCs w:val="22"/>
        </w:rPr>
        <w:t xml:space="preserve"> and </w:t>
      </w:r>
      <w:proofErr w:type="spellStart"/>
      <w:r w:rsidRPr="0078058B">
        <w:rPr>
          <w:rFonts w:cs="Arial"/>
          <w:sz w:val="22"/>
          <w:szCs w:val="22"/>
        </w:rPr>
        <w:t>articles</w:t>
      </w:r>
      <w:proofErr w:type="spellEnd"/>
      <w:r w:rsidRPr="0078058B">
        <w:rPr>
          <w:rFonts w:cs="Arial"/>
          <w:sz w:val="22"/>
          <w:szCs w:val="22"/>
        </w:rPr>
        <w:t>“ des EDQM</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16C4FD7A" w14:textId="77777777" w:rsidR="00A02199" w:rsidRPr="00FA32E3" w:rsidRDefault="00A02199" w:rsidP="00A02199">
      <w:pPr>
        <w:pStyle w:val="berschrift2"/>
      </w:pPr>
      <w:r w:rsidRPr="00FA32E3">
        <w:lastRenderedPageBreak/>
        <w:t>Aluminium- Gusslegierungen:</w:t>
      </w:r>
    </w:p>
    <w:p w14:paraId="1E3CFBBA" w14:textId="77777777" w:rsidR="00A02199" w:rsidRPr="00E55CBE" w:rsidRDefault="00A02199" w:rsidP="00A02199">
      <w:pPr>
        <w:ind w:left="426"/>
        <w:jc w:val="both"/>
        <w:rPr>
          <w:rFonts w:cs="Arial"/>
          <w:sz w:val="22"/>
          <w:szCs w:val="22"/>
          <w:lang w:val="en-US"/>
        </w:rPr>
      </w:pPr>
      <w:r w:rsidRPr="00E55CBE">
        <w:rPr>
          <w:rFonts w:cs="Arial"/>
          <w:sz w:val="22"/>
          <w:szCs w:val="22"/>
          <w:lang w:val="en-US"/>
        </w:rPr>
        <w:t>Konformität gemäß DIN EN 601 und gemäß „Technical guideline for metals and alloys used in food contact materials and articles“ des EDQM</w:t>
      </w:r>
    </w:p>
    <w:p w14:paraId="2491D036" w14:textId="77777777" w:rsidR="00A02199" w:rsidRPr="00E55CBE" w:rsidRDefault="00A02199" w:rsidP="00A02199">
      <w:pPr>
        <w:pStyle w:val="berschrift2"/>
        <w:rPr>
          <w:lang w:val="en-US"/>
        </w:rPr>
      </w:pPr>
      <w:r w:rsidRPr="00E55CBE">
        <w:rPr>
          <w:lang w:val="en-US"/>
        </w:rPr>
        <w:t>Aluminium-Knetlegierungen:</w:t>
      </w:r>
    </w:p>
    <w:p w14:paraId="08ED5F98" w14:textId="77777777" w:rsidR="00A02199" w:rsidRPr="00E55CBE" w:rsidRDefault="00A02199" w:rsidP="00A02199">
      <w:pPr>
        <w:ind w:left="426"/>
        <w:jc w:val="both"/>
        <w:rPr>
          <w:rFonts w:cs="Arial"/>
          <w:sz w:val="22"/>
          <w:szCs w:val="22"/>
          <w:lang w:val="en-US"/>
        </w:rPr>
      </w:pPr>
      <w:r w:rsidRPr="00E55CBE">
        <w:rPr>
          <w:rFonts w:cs="Arial"/>
          <w:sz w:val="22"/>
          <w:szCs w:val="22"/>
          <w:lang w:val="en-US"/>
        </w:rPr>
        <w:t>Konformität gemäß DIN EN 602 und gemäß „Technical guideline for metals and alloys used in food contact materials and articles“ des EDQM</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3"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bookmarkStart w:id="4" w:name="_Hlk75341309"/>
            <w:bookmarkStart w:id="5" w:name="_GoBack"/>
            <w:bookmarkEnd w:id="5"/>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4"/>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3"/>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w/Q/YPhrjfbB73KA4Qgj1wYHwsM/svBp4dLSaOfG+44JqROIoajKOgVNlEIhZg2e4SDjw31IuZ0bzeNnWBJTQ==" w:salt="4d4AvzvooaUOI1Y9e2SVEQ=="/>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8058B"/>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32f17b31-a6ea-40c5-8afa-961408f627a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3744</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4147</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7</cp:revision>
  <cp:lastPrinted>2012-08-08T09:23:00Z</cp:lastPrinted>
  <dcterms:created xsi:type="dcterms:W3CDTF">2021-06-23T06:39:00Z</dcterms:created>
  <dcterms:modified xsi:type="dcterms:W3CDTF">2021-07-13T09:04:00Z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